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94A" w:rsidRPr="00664B19" w:rsidRDefault="00D0694A" w:rsidP="00D0694A">
      <w:pPr>
        <w:pStyle w:val="Normalcentr"/>
        <w:ind w:left="0" w:right="-143"/>
        <w:jc w:val="center"/>
        <w:rPr>
          <w:rFonts w:ascii="Times New Roman" w:hAnsi="Times New Roman"/>
        </w:rPr>
      </w:pPr>
      <w:r w:rsidRPr="00664B19">
        <w:rPr>
          <w:rFonts w:ascii="Times New Roman" w:hAnsi="Times New Roman"/>
        </w:rPr>
        <w:t>INDICES DE VARIABILITE DE LA TAILLE</w:t>
      </w:r>
    </w:p>
    <w:p w:rsidR="00D0694A" w:rsidRPr="00664B19" w:rsidRDefault="00D0694A">
      <w:pPr>
        <w:pStyle w:val="Normalcentr"/>
        <w:ind w:left="0" w:right="-143"/>
        <w:rPr>
          <w:rFonts w:ascii="Times New Roman" w:hAnsi="Times New Roman"/>
        </w:rPr>
      </w:pPr>
    </w:p>
    <w:p w:rsidR="00D0694A" w:rsidRPr="00664B19" w:rsidRDefault="00D0694A" w:rsidP="00D0694A">
      <w:pPr>
        <w:pStyle w:val="Normalcentr"/>
        <w:ind w:left="0" w:right="-143" w:firstLine="567"/>
        <w:rPr>
          <w:rFonts w:ascii="Times New Roman" w:hAnsi="Times New Roman"/>
        </w:rPr>
      </w:pPr>
      <w:r w:rsidRPr="00664B19">
        <w:rPr>
          <w:rFonts w:ascii="Times New Roman" w:hAnsi="Times New Roman"/>
        </w:rPr>
        <w:t>C'est une technique de comparaison de la taille squelettique globale élaborée en Archéozoologie (Uerpmann 1986</w:t>
      </w:r>
      <w:r w:rsidR="00CC75BE">
        <w:rPr>
          <w:rFonts w:ascii="Times New Roman" w:hAnsi="Times New Roman"/>
        </w:rPr>
        <w:t xml:space="preserve"> </w:t>
      </w:r>
      <w:r w:rsidRPr="00664B19">
        <w:rPr>
          <w:rFonts w:ascii="Times New Roman" w:hAnsi="Times New Roman"/>
        </w:rPr>
        <w:t>; Meadow 1986, 1999). Cette technique permet de comparer des échantillons variés, même peu abondants et fragmentaires et de mettre en évidence des fluctuations de taille temporelles, par exemple chez les chevaux quaternaires (Eisenmann &amp; David 2002). Elle nécessite une bonne connaissance statistique du matériel de référence.</w:t>
      </w:r>
    </w:p>
    <w:p w:rsidR="00D0694A" w:rsidRPr="00664B19" w:rsidRDefault="00D0694A" w:rsidP="00D0694A">
      <w:pPr>
        <w:pStyle w:val="Normalcentr"/>
        <w:ind w:left="0" w:right="-143" w:firstLine="567"/>
        <w:rPr>
          <w:rFonts w:ascii="Times New Roman" w:hAnsi="Times New Roman"/>
        </w:rPr>
      </w:pPr>
      <w:r w:rsidRPr="00664B19">
        <w:rPr>
          <w:rFonts w:ascii="Times New Roman" w:hAnsi="Times New Roman"/>
        </w:rPr>
        <w:t xml:space="preserve"> </w:t>
      </w:r>
    </w:p>
    <w:p w:rsidR="00D0694A" w:rsidRPr="00664B19" w:rsidRDefault="00D0694A">
      <w:pPr>
        <w:pStyle w:val="Normalcentr"/>
        <w:ind w:left="0" w:right="-143" w:firstLine="567"/>
        <w:rPr>
          <w:rFonts w:ascii="Times New Roman" w:hAnsi="Times New Roman"/>
        </w:rPr>
      </w:pPr>
      <w:r w:rsidRPr="00664B19">
        <w:rPr>
          <w:rFonts w:ascii="Times New Roman" w:hAnsi="Times New Roman"/>
        </w:rPr>
        <w:t xml:space="preserve">Le but étant de comparer des tailles globales, toutes les dimensions squelettiques adultes peuvent en principe concourir à l’établissement des indices de taille. Toutefois il n'est pas recommandé d'utiliser à la fois longueurs, largeurs et profondeurs, ni plusieurs mesures pour un même spécimen. En pratique, le choix des mesures dépend de la composition et de la richesse du matériel à étudier. </w:t>
      </w:r>
    </w:p>
    <w:p w:rsidR="00D0694A" w:rsidRPr="00664B19" w:rsidRDefault="00D0694A">
      <w:pPr>
        <w:pStyle w:val="Normalcentr"/>
        <w:ind w:left="0" w:right="-143" w:firstLine="567"/>
        <w:rPr>
          <w:rFonts w:ascii="Times New Roman" w:hAnsi="Times New Roman"/>
        </w:rPr>
      </w:pPr>
    </w:p>
    <w:p w:rsidR="00D0694A" w:rsidRPr="00664B19" w:rsidRDefault="00D0694A">
      <w:pPr>
        <w:pStyle w:val="Normalcentr"/>
        <w:ind w:left="0" w:right="-143" w:firstLine="567"/>
        <w:rPr>
          <w:rFonts w:ascii="Times New Roman" w:hAnsi="Times New Roman"/>
        </w:rPr>
      </w:pPr>
      <w:r w:rsidRPr="00664B19">
        <w:rPr>
          <w:rFonts w:ascii="Times New Roman" w:hAnsi="Times New Roman"/>
        </w:rPr>
        <w:t xml:space="preserve">La première démarche consiste à définir un ensemble de mesures de référence pour les comparaisons ultérieures. Pour chaque mesure (M) de chaque élément squelettique de l'équidé de référence, on calcule la moyenne (xM) et l’écart-type (sM). Pour chaque mesure de même type (m) de l'équidé à comparer, on calcule ensuite un indice de taille (it) suivant la formule : </w:t>
      </w:r>
      <w:r w:rsidRPr="00CA20DD">
        <w:rPr>
          <w:rFonts w:ascii="Times New Roman" w:hAnsi="Times New Roman"/>
          <w:highlight w:val="yellow"/>
        </w:rPr>
        <w:t xml:space="preserve">it = </w:t>
      </w:r>
      <w:r w:rsidR="00EE72ED">
        <w:rPr>
          <w:rFonts w:ascii="Times New Roman" w:hAnsi="Times New Roman"/>
          <w:highlight w:val="yellow"/>
        </w:rPr>
        <w:t>25</w:t>
      </w:r>
      <w:r w:rsidRPr="00CA20DD">
        <w:rPr>
          <w:rFonts w:ascii="Times New Roman" w:hAnsi="Times New Roman"/>
          <w:highlight w:val="yellow"/>
        </w:rPr>
        <w:t>(</w:t>
      </w:r>
      <w:r w:rsidR="005E6098">
        <w:rPr>
          <w:rFonts w:ascii="Times New Roman" w:hAnsi="Times New Roman"/>
          <w:highlight w:val="yellow"/>
        </w:rPr>
        <w:t>m-</w:t>
      </w:r>
      <w:proofErr w:type="gramStart"/>
      <w:r w:rsidRPr="00CA20DD">
        <w:rPr>
          <w:rFonts w:ascii="Times New Roman" w:hAnsi="Times New Roman"/>
          <w:highlight w:val="yellow"/>
        </w:rPr>
        <w:t>xM)/</w:t>
      </w:r>
      <w:proofErr w:type="gramEnd"/>
      <w:r w:rsidRPr="00CA20DD">
        <w:rPr>
          <w:rFonts w:ascii="Times New Roman" w:hAnsi="Times New Roman"/>
          <w:highlight w:val="yellow"/>
        </w:rPr>
        <w:t>sM.</w:t>
      </w:r>
      <w:r w:rsidRPr="00664B19">
        <w:rPr>
          <w:rFonts w:ascii="Times New Roman" w:hAnsi="Times New Roman"/>
        </w:rPr>
        <w:t xml:space="preserve"> </w:t>
      </w:r>
    </w:p>
    <w:p w:rsidR="00D0694A" w:rsidRPr="00664B19" w:rsidRDefault="00D0694A">
      <w:pPr>
        <w:pStyle w:val="Normalcentr"/>
        <w:ind w:left="0" w:right="-143" w:firstLine="567"/>
        <w:rPr>
          <w:rFonts w:ascii="Times New Roman" w:hAnsi="Times New Roman"/>
        </w:rPr>
      </w:pPr>
    </w:p>
    <w:p w:rsidR="00D0694A" w:rsidRPr="00664B19" w:rsidRDefault="00D0694A">
      <w:pPr>
        <w:pStyle w:val="Normalcentr"/>
        <w:ind w:left="0" w:right="-143" w:firstLine="567"/>
        <w:rPr>
          <w:rFonts w:ascii="Times New Roman" w:hAnsi="Times New Roman"/>
        </w:rPr>
      </w:pPr>
      <w:r w:rsidRPr="00664B19">
        <w:rPr>
          <w:rFonts w:ascii="Times New Roman" w:hAnsi="Times New Roman"/>
        </w:rPr>
        <w:t xml:space="preserve">Ces indices de taille sont placés sur un histogramme où les classes des abscisses sont égales à un, deux, trois, quatre, etc., écart-types de part et d’autre de zéro, et où les ordonnées sont égales à la fréquence des indices de taille dans chaque classe.  </w:t>
      </w:r>
    </w:p>
    <w:p w:rsidR="00D0694A" w:rsidRPr="00664B19" w:rsidRDefault="00D0694A">
      <w:pPr>
        <w:pStyle w:val="Normalcentr"/>
        <w:ind w:left="0" w:right="-143" w:firstLine="567"/>
        <w:rPr>
          <w:rFonts w:ascii="Times New Roman" w:hAnsi="Times New Roman"/>
        </w:rPr>
      </w:pPr>
    </w:p>
    <w:p w:rsidR="00D0694A" w:rsidRPr="00664B19" w:rsidRDefault="00D0694A">
      <w:pPr>
        <w:pStyle w:val="Normalcentr"/>
        <w:ind w:left="0" w:right="-143" w:firstLine="567"/>
        <w:rPr>
          <w:rFonts w:ascii="Times New Roman" w:hAnsi="Times New Roman"/>
        </w:rPr>
      </w:pPr>
      <w:r w:rsidRPr="00664B19">
        <w:rPr>
          <w:rFonts w:ascii="Times New Roman" w:hAnsi="Times New Roman"/>
        </w:rPr>
        <w:t xml:space="preserve">Sur le graphique correspondant, le zéro des abscisses correspond aux dimensions de référence. Une mesure (m) séparée d’une mesure (M) par un écart-type se trouvera à une distance de 25 de ce </w:t>
      </w:r>
      <w:proofErr w:type="gramStart"/>
      <w:r w:rsidRPr="00664B19">
        <w:rPr>
          <w:rFonts w:ascii="Times New Roman" w:hAnsi="Times New Roman"/>
        </w:rPr>
        <w:t>zéro;</w:t>
      </w:r>
      <w:proofErr w:type="gramEnd"/>
      <w:r w:rsidRPr="00664B19">
        <w:rPr>
          <w:rFonts w:ascii="Times New Roman" w:hAnsi="Times New Roman"/>
        </w:rPr>
        <w:t xml:space="preserve"> une mesure (m’) séparée par deux écart-types de la mesure (M) se trouvera à une distance de 50 de ce zéro.</w:t>
      </w:r>
    </w:p>
    <w:p w:rsidR="00D0694A" w:rsidRPr="00664B19" w:rsidRDefault="00D0694A">
      <w:pPr>
        <w:pStyle w:val="Textebrut"/>
        <w:rPr>
          <w:rFonts w:ascii="Times New Roman" w:hAnsi="Times New Roman"/>
          <w:sz w:val="24"/>
        </w:rPr>
      </w:pPr>
    </w:p>
    <w:p w:rsidR="00D0694A" w:rsidRPr="00664B19" w:rsidRDefault="00D0694A">
      <w:pPr>
        <w:pStyle w:val="Textebrut"/>
        <w:rPr>
          <w:rFonts w:ascii="Times New Roman" w:hAnsi="Times New Roman"/>
          <w:sz w:val="24"/>
        </w:rPr>
      </w:pPr>
    </w:p>
    <w:p w:rsidR="00D0694A" w:rsidRPr="00664B19" w:rsidRDefault="00D0694A">
      <w:pPr>
        <w:pStyle w:val="Textebrut"/>
        <w:rPr>
          <w:rFonts w:ascii="Times New Roman" w:hAnsi="Times New Roman"/>
          <w:sz w:val="24"/>
        </w:rPr>
      </w:pPr>
      <w:r w:rsidRPr="00664B19">
        <w:rPr>
          <w:rFonts w:ascii="Times New Roman" w:hAnsi="Times New Roman"/>
          <w:sz w:val="24"/>
        </w:rPr>
        <w:t>Eisenmann V. &amp; David F. - 2002. Evolution de la taille des Chevaux d’Arcy-sur-Cure et de quelques autres Chevaux quaternaires. In : L’Aurignacien de la Grotte du Renne, sous la direction de B. Schmider. XXXIVème supplément à Gallia Préhistoire : 97-102, 2 fig., 2 tabl. CNRS Editions.</w:t>
      </w:r>
    </w:p>
    <w:p w:rsidR="00D0694A" w:rsidRPr="00664B19" w:rsidRDefault="00D0694A">
      <w:pPr>
        <w:pStyle w:val="Textebrut"/>
        <w:rPr>
          <w:rFonts w:ascii="Times New Roman" w:hAnsi="Times New Roman"/>
          <w:sz w:val="24"/>
        </w:rPr>
      </w:pPr>
    </w:p>
    <w:p w:rsidR="00D0694A" w:rsidRPr="00CA20DD" w:rsidRDefault="00D0694A">
      <w:pPr>
        <w:pStyle w:val="Textebrut"/>
        <w:ind w:right="-567"/>
        <w:rPr>
          <w:rFonts w:ascii="Times New Roman" w:hAnsi="Times New Roman"/>
          <w:sz w:val="24"/>
          <w:lang w:val="de-DE"/>
        </w:rPr>
      </w:pPr>
      <w:r w:rsidRPr="00664B19">
        <w:rPr>
          <w:rFonts w:ascii="Times New Roman" w:hAnsi="Times New Roman"/>
          <w:sz w:val="24"/>
        </w:rPr>
        <w:t xml:space="preserve">Meadow R.H., 1986. - Some Equid Remains from Cayönü, Southeastern Turquey. In : MEADOW R.H. &amp; H.P. UERPMANN, eds, Equids in the ancient world. </w:t>
      </w:r>
      <w:r w:rsidRPr="00CA20DD">
        <w:rPr>
          <w:rFonts w:ascii="Times New Roman" w:hAnsi="Times New Roman"/>
          <w:sz w:val="24"/>
          <w:lang w:val="de-DE"/>
        </w:rPr>
        <w:t xml:space="preserve">Beihefte zum Tübinger Atlas des Vorderen Orients, Reihe </w:t>
      </w:r>
      <w:proofErr w:type="gramStart"/>
      <w:r w:rsidRPr="00CA20DD">
        <w:rPr>
          <w:rFonts w:ascii="Times New Roman" w:hAnsi="Times New Roman"/>
          <w:sz w:val="24"/>
          <w:lang w:val="de-DE"/>
        </w:rPr>
        <w:t>A :</w:t>
      </w:r>
      <w:proofErr w:type="gramEnd"/>
      <w:r w:rsidRPr="00CA20DD">
        <w:rPr>
          <w:rFonts w:ascii="Times New Roman" w:hAnsi="Times New Roman"/>
          <w:sz w:val="24"/>
          <w:lang w:val="de-DE"/>
        </w:rPr>
        <w:t xml:space="preserve"> 266-301, 3 fig., 7 tabl., Wiesbaden</w:t>
      </w:r>
    </w:p>
    <w:p w:rsidR="00D0694A" w:rsidRPr="00CA20DD" w:rsidRDefault="00D0694A">
      <w:pPr>
        <w:pStyle w:val="Textebrut"/>
        <w:ind w:right="-567"/>
        <w:rPr>
          <w:rFonts w:ascii="Times New Roman" w:hAnsi="Times New Roman"/>
          <w:sz w:val="24"/>
          <w:lang w:val="de-DE"/>
        </w:rPr>
      </w:pPr>
    </w:p>
    <w:p w:rsidR="00D0694A" w:rsidRPr="00CA20DD" w:rsidRDefault="00D0694A">
      <w:pPr>
        <w:pStyle w:val="Textebrut"/>
        <w:rPr>
          <w:rFonts w:ascii="Times New Roman" w:hAnsi="Times New Roman"/>
          <w:sz w:val="24"/>
          <w:lang w:val="de-DE"/>
        </w:rPr>
      </w:pPr>
      <w:r w:rsidRPr="00CA20DD">
        <w:rPr>
          <w:rFonts w:ascii="Times New Roman" w:hAnsi="Times New Roman"/>
          <w:sz w:val="24"/>
          <w:lang w:val="en-US"/>
        </w:rPr>
        <w:t xml:space="preserve">Meadow R., 1999. - The use of size index scaling techniques for research on archaezoological collections from the Middle East. </w:t>
      </w:r>
      <w:proofErr w:type="gramStart"/>
      <w:r w:rsidRPr="00CA20DD">
        <w:rPr>
          <w:rFonts w:ascii="Times New Roman" w:hAnsi="Times New Roman"/>
          <w:sz w:val="24"/>
          <w:lang w:val="de-DE"/>
        </w:rPr>
        <w:t>In :</w:t>
      </w:r>
      <w:proofErr w:type="gramEnd"/>
      <w:r w:rsidRPr="00CA20DD">
        <w:rPr>
          <w:rFonts w:ascii="Times New Roman" w:hAnsi="Times New Roman"/>
          <w:sz w:val="24"/>
          <w:lang w:val="de-DE"/>
        </w:rPr>
        <w:t xml:space="preserve"> Historia Animalium ex Ossibus. Festschrift für Angela </w:t>
      </w:r>
      <w:proofErr w:type="gramStart"/>
      <w:r w:rsidRPr="00CA20DD">
        <w:rPr>
          <w:rFonts w:ascii="Times New Roman" w:hAnsi="Times New Roman"/>
          <w:sz w:val="24"/>
          <w:lang w:val="de-DE"/>
        </w:rPr>
        <w:t>von den Driesch</w:t>
      </w:r>
      <w:proofErr w:type="gramEnd"/>
      <w:r w:rsidRPr="00CA20DD">
        <w:rPr>
          <w:rFonts w:ascii="Times New Roman" w:hAnsi="Times New Roman"/>
          <w:sz w:val="24"/>
          <w:lang w:val="de-DE"/>
        </w:rPr>
        <w:t xml:space="preserve"> zum 65. Geburtstag, 285-300. Internationale Archäologie, Bd </w:t>
      </w:r>
      <w:proofErr w:type="gramStart"/>
      <w:r w:rsidRPr="00CA20DD">
        <w:rPr>
          <w:rFonts w:ascii="Times New Roman" w:hAnsi="Times New Roman"/>
          <w:sz w:val="24"/>
          <w:lang w:val="de-DE"/>
        </w:rPr>
        <w:t>8 :</w:t>
      </w:r>
      <w:proofErr w:type="gramEnd"/>
      <w:r w:rsidRPr="00CA20DD">
        <w:rPr>
          <w:rFonts w:ascii="Times New Roman" w:hAnsi="Times New Roman"/>
          <w:sz w:val="24"/>
          <w:lang w:val="de-DE"/>
        </w:rPr>
        <w:t xml:space="preserve"> Studia honoraria. Verlag Marie Leidorf, Rahden, Westf.</w:t>
      </w:r>
    </w:p>
    <w:p w:rsidR="00D0694A" w:rsidRPr="00CA20DD" w:rsidRDefault="00D0694A">
      <w:pPr>
        <w:pStyle w:val="Textebrut"/>
        <w:ind w:right="-567"/>
        <w:rPr>
          <w:rFonts w:ascii="Times New Roman" w:hAnsi="Times New Roman"/>
          <w:sz w:val="24"/>
          <w:lang w:val="de-DE"/>
        </w:rPr>
      </w:pPr>
    </w:p>
    <w:p w:rsidR="00D0694A" w:rsidRPr="00CA20DD" w:rsidRDefault="00D0694A">
      <w:pPr>
        <w:ind w:right="1416"/>
        <w:rPr>
          <w:rFonts w:ascii="Times New Roman" w:hAnsi="Times New Roman"/>
          <w:lang w:val="de-DE"/>
        </w:rPr>
      </w:pPr>
      <w:r w:rsidRPr="00CA20DD">
        <w:rPr>
          <w:rFonts w:ascii="Times New Roman" w:hAnsi="Times New Roman"/>
          <w:lang w:val="de-DE"/>
        </w:rPr>
        <w:t>Uerpmann, H.P., 1982. - Faunal remains from Shams ed-din Tannira, a Halafian Site in Northern Syria. Beyrutus, 30: 3-52.</w:t>
      </w:r>
    </w:p>
    <w:p w:rsidR="00D0694A" w:rsidRPr="00CA20DD" w:rsidRDefault="00D0694A">
      <w:pPr>
        <w:ind w:right="1416"/>
        <w:rPr>
          <w:rFonts w:ascii="Times New Roman" w:hAnsi="Times New Roman"/>
          <w:lang w:val="de-DE"/>
        </w:rPr>
      </w:pPr>
    </w:p>
    <w:p w:rsidR="00D0694A" w:rsidRPr="00CA20DD" w:rsidRDefault="00D0694A">
      <w:pPr>
        <w:pStyle w:val="Textebrut"/>
        <w:rPr>
          <w:rFonts w:ascii="Times New Roman" w:hAnsi="Times New Roman"/>
          <w:sz w:val="24"/>
          <w:lang w:val="de-DE"/>
        </w:rPr>
      </w:pPr>
      <w:r w:rsidRPr="00CA20DD">
        <w:rPr>
          <w:rFonts w:ascii="Times New Roman" w:hAnsi="Times New Roman"/>
          <w:sz w:val="24"/>
          <w:lang w:val="de-DE"/>
        </w:rPr>
        <w:t xml:space="preserve">Uerpmann H.-P., 1986. – Halafian equid remains from Shams ed-Din Tannira in Northern Syria. </w:t>
      </w:r>
      <w:proofErr w:type="gramStart"/>
      <w:r w:rsidRPr="00CA20DD">
        <w:rPr>
          <w:rFonts w:ascii="Times New Roman" w:hAnsi="Times New Roman"/>
          <w:sz w:val="24"/>
          <w:lang w:val="en-US"/>
        </w:rPr>
        <w:t>In :</w:t>
      </w:r>
      <w:proofErr w:type="gramEnd"/>
      <w:r w:rsidRPr="00CA20DD">
        <w:rPr>
          <w:rFonts w:ascii="Times New Roman" w:hAnsi="Times New Roman"/>
          <w:sz w:val="24"/>
          <w:lang w:val="en-US"/>
        </w:rPr>
        <w:t xml:space="preserve"> MEADOW R.H. &amp; H.P. UERPMANN, eds, Equids in the ancient </w:t>
      </w:r>
      <w:r w:rsidRPr="00CA20DD">
        <w:rPr>
          <w:rFonts w:ascii="Times New Roman" w:hAnsi="Times New Roman"/>
          <w:sz w:val="24"/>
          <w:lang w:val="en-US"/>
        </w:rPr>
        <w:lastRenderedPageBreak/>
        <w:t xml:space="preserve">world. </w:t>
      </w:r>
      <w:r w:rsidRPr="00CA20DD">
        <w:rPr>
          <w:rFonts w:ascii="Times New Roman" w:hAnsi="Times New Roman"/>
          <w:sz w:val="24"/>
          <w:lang w:val="de-DE"/>
        </w:rPr>
        <w:t xml:space="preserve">Beihefte zum Tübinger Atlas des Vorderen Orients, Reihe </w:t>
      </w:r>
      <w:proofErr w:type="gramStart"/>
      <w:r w:rsidRPr="00CA20DD">
        <w:rPr>
          <w:rFonts w:ascii="Times New Roman" w:hAnsi="Times New Roman"/>
          <w:sz w:val="24"/>
          <w:lang w:val="de-DE"/>
        </w:rPr>
        <w:t>A :</w:t>
      </w:r>
      <w:proofErr w:type="gramEnd"/>
      <w:r w:rsidRPr="00CA20DD">
        <w:rPr>
          <w:rFonts w:ascii="Times New Roman" w:hAnsi="Times New Roman"/>
          <w:sz w:val="24"/>
          <w:lang w:val="de-DE"/>
        </w:rPr>
        <w:t xml:space="preserve"> 246-265, 3 fig., 3 plates, 3 tabl., Wiesbaden.</w:t>
      </w:r>
    </w:p>
    <w:p w:rsidR="00D0694A" w:rsidRPr="00CA20DD" w:rsidRDefault="00D0694A">
      <w:pPr>
        <w:pStyle w:val="Corpsdetexte"/>
        <w:ind w:right="-143"/>
        <w:rPr>
          <w:rFonts w:ascii="Times New Roman" w:hAnsi="Times New Roman"/>
          <w:lang w:val="de-DE"/>
        </w:rPr>
      </w:pPr>
    </w:p>
    <w:p w:rsidR="00D0694A" w:rsidRPr="00664B19" w:rsidRDefault="00D0694A" w:rsidP="00D0694A">
      <w:pPr>
        <w:pStyle w:val="Corpsdetexte"/>
        <w:ind w:right="-143"/>
        <w:jc w:val="center"/>
        <w:rPr>
          <w:rFonts w:ascii="Times New Roman" w:hAnsi="Times New Roman"/>
        </w:rPr>
      </w:pPr>
      <w:r w:rsidRPr="00664B19">
        <w:rPr>
          <w:rFonts w:ascii="Times New Roman" w:hAnsi="Times New Roman"/>
        </w:rPr>
        <w:t>INDICES DE TAILLE DE CHEVAUX</w:t>
      </w:r>
    </w:p>
    <w:p w:rsidR="00D0694A" w:rsidRPr="00664B19" w:rsidRDefault="00D0694A" w:rsidP="00D0694A">
      <w:pPr>
        <w:pStyle w:val="Corpsdetexte"/>
        <w:ind w:right="-143"/>
        <w:jc w:val="center"/>
        <w:rPr>
          <w:rFonts w:ascii="Times New Roman" w:hAnsi="Times New Roman"/>
        </w:rPr>
      </w:pPr>
    </w:p>
    <w:p w:rsidR="00D0694A" w:rsidRPr="00664B19" w:rsidRDefault="00D0694A" w:rsidP="00D0694A">
      <w:pPr>
        <w:pStyle w:val="Normalcentr"/>
        <w:ind w:left="0" w:right="-143"/>
        <w:rPr>
          <w:rFonts w:ascii="Times New Roman" w:hAnsi="Times New Roman"/>
        </w:rPr>
      </w:pPr>
      <w:proofErr w:type="gramStart"/>
      <w:r w:rsidRPr="00664B19">
        <w:rPr>
          <w:rFonts w:ascii="Times New Roman" w:hAnsi="Times New Roman"/>
        </w:rPr>
        <w:t>La  référence</w:t>
      </w:r>
      <w:proofErr w:type="gramEnd"/>
      <w:r w:rsidRPr="00664B19">
        <w:rPr>
          <w:rFonts w:ascii="Times New Roman" w:hAnsi="Times New Roman"/>
        </w:rPr>
        <w:t xml:space="preserve"> est constituée par le cheval de Jaurens (tableau), vieux de 29.300 à 32.600 ans (Mourer-Chauviré 1980), pour lequel nous avons utilisé nos propres mesures.</w:t>
      </w:r>
    </w:p>
    <w:p w:rsidR="00D0694A" w:rsidRPr="00664B19" w:rsidRDefault="00D0694A">
      <w:pPr>
        <w:pStyle w:val="Normalcentr"/>
        <w:ind w:left="0" w:right="-143"/>
        <w:rPr>
          <w:rFonts w:ascii="Times New Roman" w:hAnsi="Times New Roman"/>
        </w:rPr>
      </w:pPr>
    </w:p>
    <w:p w:rsidR="00D0694A" w:rsidRPr="00664B19" w:rsidRDefault="00D0694A">
      <w:pPr>
        <w:pStyle w:val="Textebrut"/>
        <w:tabs>
          <w:tab w:val="left" w:pos="1985"/>
        </w:tabs>
        <w:rPr>
          <w:rFonts w:ascii="Times New Roman" w:hAnsi="Times New Roman"/>
          <w:sz w:val="24"/>
        </w:rPr>
      </w:pPr>
      <w:r w:rsidRPr="00664B19">
        <w:rPr>
          <w:rFonts w:ascii="Times New Roman" w:hAnsi="Times New Roman"/>
          <w:sz w:val="24"/>
        </w:rPr>
        <w:t>Mourer-Chauviré C., 1980. - Le gisement pléistocène supérieur de la grotte de Jaurens, à Nespouls, Corrèze, France : les Equidés (Mammalia, Perissodactyla). Nouvelles Archives du Muséum d'Histoire Naturelle de Lyon, 18 : 17-60, 6 fig., 5 pl., 28 tabl.</w:t>
      </w:r>
    </w:p>
    <w:p w:rsidR="00D0694A" w:rsidRPr="00664B19" w:rsidRDefault="00D0694A">
      <w:pPr>
        <w:pStyle w:val="Textebrut"/>
        <w:tabs>
          <w:tab w:val="left" w:pos="1985"/>
        </w:tabs>
        <w:rPr>
          <w:rFonts w:ascii="Times New Roman" w:hAnsi="Times New Roman"/>
          <w:sz w:val="24"/>
        </w:rPr>
      </w:pPr>
    </w:p>
    <w:p w:rsidR="00D0694A" w:rsidRPr="00664B19" w:rsidRDefault="00D0694A">
      <w:pPr>
        <w:pStyle w:val="Normalcentr"/>
        <w:ind w:left="0" w:right="-143"/>
        <w:rPr>
          <w:rFonts w:ascii="Times New Roman" w:hAnsi="Times New Roman"/>
        </w:rPr>
      </w:pPr>
      <w:r w:rsidRPr="00664B19">
        <w:rPr>
          <w:rFonts w:ascii="Times New Roman" w:hAnsi="Times New Roman"/>
        </w:rPr>
        <w:t>Choix</w:t>
      </w:r>
    </w:p>
    <w:p w:rsidR="00D0694A" w:rsidRPr="00664B19" w:rsidRDefault="00D0694A">
      <w:pPr>
        <w:pStyle w:val="Normalcentr"/>
        <w:ind w:left="0" w:right="-143" w:firstLine="567"/>
        <w:rPr>
          <w:rFonts w:ascii="Times New Roman" w:hAnsi="Times New Roman"/>
        </w:rPr>
      </w:pPr>
      <w:r w:rsidRPr="00664B19">
        <w:rPr>
          <w:rFonts w:ascii="Times New Roman" w:hAnsi="Times New Roman"/>
        </w:rPr>
        <w:t>L'histogramme représente la variabilité de la taille fondée sur les largeurs articulaires proximales ou distales des troisièmes métapodes (MC 5 ou MC 11, MT 5 ou MT 11), largeurs articulaires distales des astragales (Astr 5), longueurs maximales des premières phalanges antérieures et postérieures (PhIA 1 et PhIP 1), largeurs minimales des deuxièmes phalanges antérieures et postérieures (PhIIAP 3) et les largeurs articulaires des troisièmes phalanges antérieures et postérieures (PhIIIA 5 et PhIIIP 5). Ce choix a été dicté par la composition du matériel fossile et par le parti-pris de n’utiliser qu’une mesure par os ou fragment osseux.</w:t>
      </w:r>
    </w:p>
    <w:p w:rsidR="00D0694A" w:rsidRPr="00664B19" w:rsidRDefault="00D0694A">
      <w:pPr>
        <w:pStyle w:val="Normalcentr"/>
        <w:ind w:left="0" w:right="-143" w:firstLine="567"/>
        <w:rPr>
          <w:rFonts w:ascii="Times New Roman" w:hAnsi="Times New Roman"/>
        </w:rPr>
      </w:pPr>
    </w:p>
    <w:p w:rsidR="00D0694A" w:rsidRPr="00664B19" w:rsidRDefault="00D0694A">
      <w:pPr>
        <w:pStyle w:val="Normalcentr"/>
        <w:ind w:left="0" w:right="-143" w:firstLine="567"/>
        <w:rPr>
          <w:rFonts w:ascii="Times New Roman" w:hAnsi="Times New Roman"/>
        </w:rPr>
      </w:pPr>
    </w:p>
    <w:p w:rsidR="00D0694A" w:rsidRPr="00664B19" w:rsidRDefault="00D0694A">
      <w:pPr>
        <w:ind w:right="-143"/>
        <w:jc w:val="center"/>
        <w:rPr>
          <w:rFonts w:ascii="Times New Roman" w:hAnsi="Times New Roman"/>
        </w:rPr>
      </w:pPr>
      <w:r w:rsidRPr="00664B19">
        <w:rPr>
          <w:rFonts w:ascii="Times New Roman" w:hAnsi="Times New Roman"/>
        </w:rPr>
        <w:t>INDICES DE TAILLE D'ALLOHIPPUS</w:t>
      </w:r>
    </w:p>
    <w:p w:rsidR="00D0694A" w:rsidRPr="00664B19" w:rsidRDefault="00D0694A">
      <w:pPr>
        <w:pStyle w:val="Textebrut"/>
        <w:rPr>
          <w:rFonts w:ascii="Times New Roman" w:hAnsi="Times New Roman"/>
          <w:sz w:val="24"/>
        </w:rPr>
      </w:pPr>
    </w:p>
    <w:p w:rsidR="00D0694A" w:rsidRPr="00664B19" w:rsidRDefault="00D0694A">
      <w:pPr>
        <w:pStyle w:val="Normalcentr"/>
        <w:ind w:left="0" w:right="390"/>
        <w:rPr>
          <w:rFonts w:ascii="Times New Roman" w:hAnsi="Times New Roman"/>
        </w:rPr>
      </w:pPr>
      <w:r w:rsidRPr="00664B19">
        <w:rPr>
          <w:rFonts w:ascii="Times New Roman" w:hAnsi="Times New Roman"/>
        </w:rPr>
        <w:t xml:space="preserve">Les fossiles des anciennes collections de Saint-Vallier constituent, par leur richesse et leur variété, une référence idéale de comparaison pour la plupart des Equidés plio-pléistocènes. </w:t>
      </w:r>
    </w:p>
    <w:p w:rsidR="00D0694A" w:rsidRPr="00664B19" w:rsidRDefault="00D0694A">
      <w:pPr>
        <w:pStyle w:val="Normalcentr"/>
        <w:ind w:left="0" w:right="-143"/>
        <w:rPr>
          <w:rFonts w:ascii="Times New Roman" w:hAnsi="Times New Roman"/>
        </w:rPr>
      </w:pPr>
    </w:p>
    <w:p w:rsidR="00D0694A" w:rsidRPr="00664B19" w:rsidRDefault="00D0694A">
      <w:pPr>
        <w:pStyle w:val="Normalcentr"/>
        <w:ind w:left="0" w:right="-143"/>
        <w:rPr>
          <w:rFonts w:ascii="Times New Roman" w:hAnsi="Times New Roman"/>
        </w:rPr>
      </w:pPr>
      <w:r w:rsidRPr="00664B19">
        <w:rPr>
          <w:rFonts w:ascii="Times New Roman" w:hAnsi="Times New Roman"/>
        </w:rPr>
        <w:t>Choix</w:t>
      </w:r>
    </w:p>
    <w:p w:rsidR="00D0694A" w:rsidRPr="00664B19" w:rsidRDefault="00D0694A" w:rsidP="00D0694A">
      <w:pPr>
        <w:pStyle w:val="Normalcentr"/>
        <w:ind w:left="0" w:right="-143" w:firstLine="708"/>
        <w:rPr>
          <w:rFonts w:ascii="Times New Roman" w:hAnsi="Times New Roman"/>
        </w:rPr>
      </w:pPr>
      <w:r w:rsidRPr="00664B19">
        <w:rPr>
          <w:rFonts w:ascii="Times New Roman" w:hAnsi="Times New Roman"/>
        </w:rPr>
        <w:t xml:space="preserve">Dix-sept catégories de dimensions squelettiques (une largeur par spécimen) contribuent à l'évaluation de l'indice da taille de l’Equidé de Saint-Vallier (tableau, histogramme). </w:t>
      </w:r>
    </w:p>
    <w:sectPr w:rsidR="00D0694A" w:rsidRPr="00664B19">
      <w:headerReference w:type="default" r:id="rId7"/>
      <w:pgSz w:w="11906" w:h="16838"/>
      <w:pgMar w:top="1418" w:right="1701" w:bottom="1418"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85E" w:rsidRDefault="009D385E">
      <w:r>
        <w:separator/>
      </w:r>
    </w:p>
  </w:endnote>
  <w:endnote w:type="continuationSeparator" w:id="0">
    <w:p w:rsidR="009D385E" w:rsidRDefault="009D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85E" w:rsidRDefault="009D385E">
      <w:r>
        <w:separator/>
      </w:r>
    </w:p>
  </w:footnote>
  <w:footnote w:type="continuationSeparator" w:id="0">
    <w:p w:rsidR="009D385E" w:rsidRDefault="009D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94A" w:rsidRDefault="00D0694A">
    <w:pPr>
      <w:pStyle w:val="En-tte"/>
      <w:jc w:val="right"/>
    </w:pPr>
    <w:r>
      <w:rPr>
        <w:rFonts w:ascii="Times New Roman" w:eastAsia="Times New Roman" w:hAnsi="Times New Roman"/>
        <w:sz w:val="20"/>
      </w:rPr>
      <w:t xml:space="preserve">- </w:t>
    </w:r>
    <w:r>
      <w:rPr>
        <w:rFonts w:ascii="Times New Roman" w:eastAsia="Times New Roman" w:hAnsi="Times New Roman"/>
        <w:sz w:val="20"/>
      </w:rPr>
      <w:fldChar w:fldCharType="begin"/>
    </w:r>
    <w:r>
      <w:rPr>
        <w:rFonts w:ascii="Times New Roman" w:eastAsia="Times New Roman" w:hAnsi="Times New Roman"/>
        <w:sz w:val="20"/>
      </w:rPr>
      <w:instrText xml:space="preserve"> PAGE </w:instrText>
    </w:r>
    <w:r>
      <w:rPr>
        <w:rFonts w:ascii="Times New Roman" w:eastAsia="Times New Roman" w:hAnsi="Times New Roman"/>
        <w:sz w:val="20"/>
      </w:rPr>
      <w:fldChar w:fldCharType="separate"/>
    </w:r>
    <w:r>
      <w:rPr>
        <w:rFonts w:ascii="Times New Roman" w:eastAsia="Times New Roman" w:hAnsi="Times New Roman"/>
        <w:noProof/>
        <w:sz w:val="20"/>
      </w:rPr>
      <w:t>1</w:t>
    </w:r>
    <w:r>
      <w:rPr>
        <w:rFonts w:ascii="Times New Roman" w:eastAsia="Times New Roman" w:hAnsi="Times New Roman"/>
        <w:sz w:val="20"/>
      </w:rPr>
      <w:fldChar w:fldCharType="end"/>
    </w:r>
    <w:r>
      <w:rPr>
        <w:rFonts w:ascii="Times New Roman" w:eastAsia="Times New Roman" w:hAnsi="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numFmt w:val="bullet"/>
      <w:lvlText w:val="-"/>
      <w:lvlJc w:val="left"/>
      <w:pPr>
        <w:tabs>
          <w:tab w:val="num" w:pos="360"/>
        </w:tabs>
        <w:ind w:left="360" w:hanging="360"/>
      </w:pPr>
      <w:rPr>
        <w:rFonts w:ascii="Times New Roman" w:hAnsi="Times New Roman" w:hint="default"/>
      </w:rPr>
    </w:lvl>
  </w:abstractNum>
  <w:num w:numId="1" w16cid:durableId="154733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93"/>
    <w:rsid w:val="00173179"/>
    <w:rsid w:val="00344E04"/>
    <w:rsid w:val="005E6098"/>
    <w:rsid w:val="009D385E"/>
    <w:rsid w:val="00CA20DD"/>
    <w:rsid w:val="00CC75BE"/>
    <w:rsid w:val="00D0694A"/>
    <w:rsid w:val="00EE72ED"/>
    <w:rsid w:val="00F17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51831391"/>
  <w15:chartTrackingRefBased/>
  <w15:docId w15:val="{61D322A1-B144-FE4C-A96A-CF5B3B24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hAnsi="Geneva"/>
      <w:sz w:val="24"/>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pPr>
      <w:ind w:right="-1136"/>
    </w:pPr>
  </w:style>
  <w:style w:type="paragraph" w:styleId="Normalcentr">
    <w:name w:val="Block Text"/>
    <w:basedOn w:val="Normal"/>
    <w:pPr>
      <w:ind w:left="-142" w:right="-1136"/>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brut">
    <w:name w:val="Plain Text"/>
    <w:basedOn w:val="Normal"/>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3870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ARCY VII</vt:lpstr>
    </vt:vector>
  </TitlesOfParts>
  <Company>MUSEUM</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ARCY VII</dc:title>
  <dc:subject/>
  <dc:creator>PALEONTOLOGIE</dc:creator>
  <cp:keywords/>
  <cp:lastModifiedBy>Véra Eisenmann</cp:lastModifiedBy>
  <cp:revision>2</cp:revision>
  <cp:lastPrinted>2000-12-13T11:29:00Z</cp:lastPrinted>
  <dcterms:created xsi:type="dcterms:W3CDTF">2024-07-24T12:40:00Z</dcterms:created>
  <dcterms:modified xsi:type="dcterms:W3CDTF">2024-07-24T12:40:00Z</dcterms:modified>
</cp:coreProperties>
</file>